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-413548</wp:posOffset>
            </wp:positionH>
            <wp:positionV relativeFrom="paragraph">
              <wp:posOffset>-581866</wp:posOffset>
            </wp:positionV>
            <wp:extent cx="6808160" cy="213714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60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7D2FA1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КАРАР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CD6A7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«06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август  </w:t>
      </w:r>
      <w:r>
        <w:rPr>
          <w:rFonts w:eastAsia="Times New Roman" w:cs="Times New Roman"/>
          <w:b/>
          <w:bCs/>
          <w:sz w:val="28"/>
          <w:szCs w:val="28"/>
        </w:rPr>
        <w:t>2019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      № </w:t>
      </w:r>
      <w:r w:rsidR="00CF3FE6">
        <w:rPr>
          <w:rFonts w:eastAsia="Times New Roman" w:cs="Times New Roman"/>
          <w:b/>
          <w:bCs/>
          <w:sz w:val="28"/>
          <w:szCs w:val="28"/>
        </w:rPr>
        <w:t>53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>«06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F3FE6">
        <w:rPr>
          <w:rFonts w:eastAsia="Times New Roman" w:cs="Times New Roman"/>
          <w:b/>
          <w:bCs/>
          <w:sz w:val="28"/>
          <w:szCs w:val="28"/>
        </w:rPr>
        <w:t>августа 2019</w:t>
      </w:r>
      <w:r w:rsidR="003076ED">
        <w:rPr>
          <w:rFonts w:eastAsia="Times New Roman" w:cs="Times New Roman"/>
          <w:b/>
          <w:bCs/>
          <w:sz w:val="28"/>
          <w:szCs w:val="28"/>
        </w:rPr>
        <w:t>г.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Об утверждении муниципальной программы п</w:t>
      </w:r>
      <w:r w:rsidRPr="00E5185F">
        <w:rPr>
          <w:b/>
          <w:color w:val="000000"/>
          <w:sz w:val="28"/>
          <w:szCs w:val="28"/>
        </w:rPr>
        <w:t xml:space="preserve">рофилактика экстремизма и терроризма в сельском поселении </w:t>
      </w:r>
      <w:r w:rsidR="001501A2">
        <w:rPr>
          <w:b/>
          <w:color w:val="000000"/>
          <w:sz w:val="28"/>
          <w:szCs w:val="28"/>
        </w:rPr>
        <w:t>Свободин</w:t>
      </w:r>
      <w:r w:rsidR="00CD6A7C">
        <w:rPr>
          <w:b/>
          <w:color w:val="000000"/>
          <w:sz w:val="28"/>
          <w:szCs w:val="28"/>
        </w:rPr>
        <w:t>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</w:t>
      </w:r>
      <w:r w:rsidR="00CD6A7C">
        <w:rPr>
          <w:b/>
          <w:color w:val="000000"/>
          <w:sz w:val="28"/>
          <w:szCs w:val="28"/>
        </w:rPr>
        <w:t xml:space="preserve"> Республики Башкортостан на 2019-2021</w:t>
      </w:r>
      <w:r>
        <w:rPr>
          <w:b/>
          <w:color w:val="000000"/>
          <w:sz w:val="28"/>
          <w:szCs w:val="28"/>
        </w:rPr>
        <w:t xml:space="preserve"> годы» </w:t>
      </w:r>
      <w:r w:rsidRPr="00E5185F">
        <w:rPr>
          <w:b/>
          <w:color w:val="000000"/>
          <w:sz w:val="28"/>
          <w:szCs w:val="28"/>
        </w:rPr>
        <w:t xml:space="preserve"> 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Default="003076ED" w:rsidP="003076ED">
      <w:pPr>
        <w:pStyle w:val="a3"/>
        <w:spacing w:after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036148"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</w:t>
      </w:r>
      <w:r w:rsidR="001501A2">
        <w:rPr>
          <w:sz w:val="28"/>
          <w:szCs w:val="28"/>
        </w:rPr>
        <w:t>Свободин</w:t>
      </w:r>
      <w:r w:rsidR="00CD6A7C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  <w:r>
        <w:rPr>
          <w:rStyle w:val="a5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Башкортостан,  </w:t>
      </w:r>
      <w:r w:rsidRPr="008B76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076ED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3076ED" w:rsidRPr="009F1AEE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1A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51824">
        <w:rPr>
          <w:color w:val="000000"/>
          <w:sz w:val="28"/>
          <w:szCs w:val="28"/>
        </w:rPr>
        <w:t xml:space="preserve">Утвердить прилагаемую муниципальную программу «Профилактика экстремизма и терроризма в  сельском поселении  </w:t>
      </w:r>
      <w:r w:rsidR="001501A2">
        <w:rPr>
          <w:color w:val="000000"/>
          <w:sz w:val="28"/>
          <w:szCs w:val="28"/>
        </w:rPr>
        <w:t>Свободин</w:t>
      </w:r>
      <w:r w:rsidR="00CD6A7C"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D51824">
        <w:rPr>
          <w:color w:val="000000"/>
          <w:sz w:val="28"/>
          <w:szCs w:val="28"/>
        </w:rPr>
        <w:t xml:space="preserve"> на </w:t>
      </w:r>
      <w:r w:rsidR="00CD6A7C">
        <w:rPr>
          <w:color w:val="000000"/>
          <w:sz w:val="28"/>
          <w:szCs w:val="28"/>
        </w:rPr>
        <w:t>2019-2021</w:t>
      </w:r>
      <w:r>
        <w:rPr>
          <w:color w:val="000000"/>
          <w:sz w:val="28"/>
          <w:szCs w:val="28"/>
        </w:rPr>
        <w:t xml:space="preserve"> </w:t>
      </w:r>
      <w:r w:rsidRPr="00D51824">
        <w:rPr>
          <w:color w:val="000000"/>
          <w:sz w:val="28"/>
          <w:szCs w:val="28"/>
        </w:rPr>
        <w:t xml:space="preserve"> годы» (приложение).</w:t>
      </w:r>
    </w:p>
    <w:p w:rsidR="00CD6A7C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 xml:space="preserve"> Настоящее постановление разместить на официальном сайте в сети «Интернет» по адресу: </w:t>
      </w:r>
      <w:hyperlink r:id="rId5" w:history="1">
        <w:r w:rsidR="001501A2" w:rsidRPr="001501A2">
          <w:rPr>
            <w:rStyle w:val="a7"/>
            <w:sz w:val="28"/>
            <w:szCs w:val="28"/>
          </w:rPr>
          <w:t>http://svoboda-sp.ru/</w:t>
        </w:r>
      </w:hyperlink>
    </w:p>
    <w:p w:rsidR="003076ED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191517"/>
          <w:sz w:val="28"/>
          <w:szCs w:val="28"/>
        </w:rPr>
      </w:pPr>
      <w:r>
        <w:rPr>
          <w:color w:val="191517"/>
          <w:sz w:val="28"/>
          <w:szCs w:val="28"/>
        </w:rPr>
        <w:tab/>
        <w:t>3. Считать утратившим силу постановления Администрации</w:t>
      </w:r>
      <w:r w:rsidR="00CD6A7C">
        <w:rPr>
          <w:color w:val="191517"/>
          <w:sz w:val="28"/>
          <w:szCs w:val="28"/>
        </w:rPr>
        <w:t xml:space="preserve"> сельского поселения </w:t>
      </w:r>
      <w:r w:rsidR="001501A2">
        <w:rPr>
          <w:color w:val="191517"/>
          <w:sz w:val="28"/>
          <w:szCs w:val="28"/>
        </w:rPr>
        <w:t>Свободин</w:t>
      </w:r>
      <w:r w:rsidR="00CD6A7C">
        <w:rPr>
          <w:color w:val="191517"/>
          <w:sz w:val="28"/>
          <w:szCs w:val="28"/>
        </w:rPr>
        <w:t>ский</w:t>
      </w:r>
      <w:r>
        <w:rPr>
          <w:color w:val="191517"/>
          <w:sz w:val="28"/>
          <w:szCs w:val="28"/>
        </w:rPr>
        <w:t xml:space="preserve"> сельсовет муниципального района Куюргазинский район Республики Башкортостан:</w:t>
      </w:r>
    </w:p>
    <w:p w:rsidR="003076ED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191517"/>
          <w:sz w:val="28"/>
          <w:szCs w:val="28"/>
        </w:rPr>
        <w:tab/>
        <w:t xml:space="preserve">-  от    </w:t>
      </w:r>
      <w:r w:rsidR="00BC401B">
        <w:rPr>
          <w:rFonts w:eastAsia="Times New Roman" w:cs="Times New Roman"/>
          <w:bCs/>
          <w:sz w:val="28"/>
          <w:szCs w:val="28"/>
        </w:rPr>
        <w:t>20.09.2018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="00CD6A7C">
        <w:rPr>
          <w:rFonts w:eastAsia="Times New Roman" w:cs="Times New Roman"/>
          <w:bCs/>
          <w:sz w:val="28"/>
          <w:szCs w:val="28"/>
        </w:rPr>
        <w:t xml:space="preserve"> № </w:t>
      </w:r>
      <w:r w:rsidR="00BC401B">
        <w:rPr>
          <w:rFonts w:eastAsia="Times New Roman" w:cs="Times New Roman"/>
          <w:bCs/>
          <w:sz w:val="28"/>
          <w:szCs w:val="28"/>
        </w:rPr>
        <w:t>36/1</w:t>
      </w:r>
      <w:r w:rsidRPr="00BB2BC1">
        <w:rPr>
          <w:rFonts w:eastAsia="Times New Roman" w:cs="Times New Roman"/>
          <w:bCs/>
          <w:sz w:val="28"/>
          <w:szCs w:val="28"/>
        </w:rPr>
        <w:t xml:space="preserve"> «</w:t>
      </w:r>
      <w:r w:rsidRPr="00BB2BC1">
        <w:rPr>
          <w:color w:val="000000"/>
          <w:sz w:val="28"/>
          <w:szCs w:val="28"/>
        </w:rPr>
        <w:t>Об утверждении муниципальной прог</w:t>
      </w:r>
      <w:r w:rsidR="00CB40C6">
        <w:rPr>
          <w:color w:val="000000"/>
          <w:sz w:val="28"/>
          <w:szCs w:val="28"/>
        </w:rPr>
        <w:t xml:space="preserve">раммы профилактика </w:t>
      </w:r>
      <w:proofErr w:type="spellStart"/>
      <w:r w:rsidRPr="00BB2BC1">
        <w:rPr>
          <w:color w:val="000000"/>
          <w:sz w:val="28"/>
          <w:szCs w:val="28"/>
        </w:rPr>
        <w:t>терроризма</w:t>
      </w:r>
      <w:proofErr w:type="gramStart"/>
      <w:r w:rsidR="00CB40C6">
        <w:rPr>
          <w:color w:val="000000"/>
          <w:sz w:val="28"/>
          <w:szCs w:val="28"/>
        </w:rPr>
        <w:t>,э</w:t>
      </w:r>
      <w:proofErr w:type="gramEnd"/>
      <w:r w:rsidR="00CB40C6">
        <w:rPr>
          <w:color w:val="000000"/>
          <w:sz w:val="28"/>
          <w:szCs w:val="28"/>
        </w:rPr>
        <w:t>кстремизма</w:t>
      </w:r>
      <w:proofErr w:type="spellEnd"/>
      <w:r w:rsidR="00CB40C6">
        <w:rPr>
          <w:color w:val="000000"/>
          <w:sz w:val="28"/>
          <w:szCs w:val="28"/>
        </w:rPr>
        <w:t xml:space="preserve"> на территории  сельского поселения</w:t>
      </w:r>
      <w:r w:rsidR="00CD6A7C">
        <w:rPr>
          <w:color w:val="000000"/>
          <w:sz w:val="28"/>
          <w:szCs w:val="28"/>
        </w:rPr>
        <w:t xml:space="preserve"> </w:t>
      </w:r>
      <w:r w:rsidR="001501A2">
        <w:rPr>
          <w:color w:val="000000"/>
          <w:sz w:val="28"/>
          <w:szCs w:val="28"/>
        </w:rPr>
        <w:t>Свободин</w:t>
      </w:r>
      <w:r w:rsidR="00CD6A7C">
        <w:rPr>
          <w:color w:val="000000"/>
          <w:sz w:val="28"/>
          <w:szCs w:val="28"/>
        </w:rPr>
        <w:t xml:space="preserve">ский </w:t>
      </w:r>
      <w:r w:rsidRPr="00BB2BC1">
        <w:rPr>
          <w:color w:val="000000"/>
          <w:sz w:val="28"/>
          <w:szCs w:val="28"/>
        </w:rPr>
        <w:t>сельсовет муниципального района Куюргазинский район Республики Башкортостан</w:t>
      </w:r>
      <w:r w:rsidR="00CD6A7C">
        <w:rPr>
          <w:color w:val="000000"/>
          <w:sz w:val="28"/>
          <w:szCs w:val="28"/>
        </w:rPr>
        <w:t xml:space="preserve"> на 201</w:t>
      </w:r>
      <w:r w:rsidR="00BC401B">
        <w:rPr>
          <w:color w:val="000000"/>
          <w:sz w:val="28"/>
          <w:szCs w:val="28"/>
        </w:rPr>
        <w:t>8-2020</w:t>
      </w:r>
      <w:r>
        <w:rPr>
          <w:color w:val="000000"/>
          <w:sz w:val="28"/>
          <w:szCs w:val="28"/>
        </w:rPr>
        <w:t xml:space="preserve"> годы</w:t>
      </w:r>
      <w:r w:rsidRPr="00BB2B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076ED" w:rsidRPr="008B7664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191517"/>
          <w:sz w:val="28"/>
          <w:szCs w:val="28"/>
        </w:rPr>
        <w:tab/>
        <w:t>3. </w:t>
      </w:r>
      <w:proofErr w:type="gramStart"/>
      <w:r w:rsidRPr="00473EDD">
        <w:rPr>
          <w:color w:val="191517"/>
          <w:sz w:val="28"/>
          <w:szCs w:val="28"/>
        </w:rPr>
        <w:t>Контроль за</w:t>
      </w:r>
      <w:proofErr w:type="gramEnd"/>
      <w:r w:rsidRPr="00473EDD">
        <w:rPr>
          <w:color w:val="191517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 оставляю за собой.</w:t>
      </w:r>
    </w:p>
    <w:p w:rsidR="003076ED" w:rsidRPr="008B7664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076ED" w:rsidRDefault="003076ED" w:rsidP="003076ED">
      <w:pPr>
        <w:pStyle w:val="a6"/>
        <w:spacing w:before="0"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3076ED" w:rsidRDefault="003076ED" w:rsidP="003076ED">
      <w:pPr>
        <w:pStyle w:val="a6"/>
        <w:spacing w:before="0" w:after="0" w:line="276" w:lineRule="auto"/>
        <w:jc w:val="both"/>
        <w:rPr>
          <w:sz w:val="28"/>
          <w:szCs w:val="28"/>
        </w:rPr>
        <w:sectPr w:rsidR="003076ED" w:rsidSect="008208A3">
          <w:pgSz w:w="11906" w:h="16838"/>
          <w:pgMar w:top="1134" w:right="851" w:bottom="284" w:left="1418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Глава сельского поселения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spellStart"/>
      <w:r w:rsidR="001501A2">
        <w:rPr>
          <w:b/>
          <w:bCs/>
          <w:color w:val="000000"/>
          <w:sz w:val="28"/>
          <w:szCs w:val="28"/>
        </w:rPr>
        <w:t>С.М.Саитбаталова</w:t>
      </w:r>
      <w:proofErr w:type="spellEnd"/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Pr="0040114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поселения </w:t>
      </w:r>
      <w:r w:rsidR="00F81FC5">
        <w:rPr>
          <w:rFonts w:ascii="Times New Roman" w:hAnsi="Times New Roman"/>
          <w:sz w:val="24"/>
          <w:szCs w:val="24"/>
        </w:rPr>
        <w:t>Свободин</w:t>
      </w:r>
      <w:r w:rsidRPr="00401145">
        <w:rPr>
          <w:rFonts w:ascii="Times New Roman" w:hAnsi="Times New Roman"/>
          <w:sz w:val="24"/>
          <w:szCs w:val="24"/>
        </w:rPr>
        <w:t>ский сельсовет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8477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.08.2018</w:t>
      </w:r>
      <w:r w:rsidRPr="00401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01145">
        <w:rPr>
          <w:rFonts w:ascii="Times New Roman" w:hAnsi="Times New Roman"/>
          <w:sz w:val="24"/>
          <w:szCs w:val="24"/>
        </w:rPr>
        <w:t xml:space="preserve"> №</w:t>
      </w:r>
      <w:r w:rsidR="00284776">
        <w:rPr>
          <w:rFonts w:ascii="Times New Roman" w:hAnsi="Times New Roman"/>
          <w:sz w:val="24"/>
          <w:szCs w:val="24"/>
        </w:rPr>
        <w:t xml:space="preserve">53 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>МУНИЦИПАЛЬНАЯ 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F81FC5">
        <w:rPr>
          <w:b/>
          <w:color w:val="000000"/>
          <w:sz w:val="28"/>
          <w:szCs w:val="28"/>
        </w:rPr>
        <w:t>Свободин</w:t>
      </w:r>
      <w:r>
        <w:rPr>
          <w:b/>
          <w:color w:val="000000"/>
          <w:sz w:val="28"/>
          <w:szCs w:val="28"/>
        </w:rPr>
        <w:t xml:space="preserve">ский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28477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-202</w:t>
      </w:r>
      <w:r w:rsidR="00284776">
        <w:rPr>
          <w:b/>
          <w:color w:val="000000"/>
          <w:sz w:val="28"/>
          <w:szCs w:val="28"/>
        </w:rPr>
        <w:t>1</w:t>
      </w:r>
      <w:r w:rsidRPr="00E5185F">
        <w:rPr>
          <w:b/>
          <w:color w:val="000000"/>
          <w:sz w:val="28"/>
          <w:szCs w:val="28"/>
        </w:rPr>
        <w:t xml:space="preserve"> годы»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0" w:name="Par41"/>
      <w:bookmarkEnd w:id="0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в сельском поселении </w:t>
            </w:r>
            <w:r w:rsidR="00F81FC5">
              <w:rPr>
                <w:color w:val="000000"/>
                <w:sz w:val="28"/>
                <w:szCs w:val="28"/>
              </w:rPr>
              <w:t>Свободин</w:t>
            </w:r>
            <w:r w:rsidRPr="008B7664">
              <w:rPr>
                <w:color w:val="000000"/>
                <w:sz w:val="28"/>
                <w:szCs w:val="28"/>
              </w:rPr>
              <w:t>ский сельсовет муниципального района Куюргазинский рай</w:t>
            </w:r>
            <w:r>
              <w:rPr>
                <w:color w:val="000000"/>
                <w:sz w:val="28"/>
                <w:szCs w:val="28"/>
              </w:rPr>
              <w:t>он Республики Башкортостан  201</w:t>
            </w:r>
            <w:r w:rsidR="0028477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</w:t>
            </w:r>
            <w:r w:rsidR="00284776">
              <w:rPr>
                <w:color w:val="000000"/>
                <w:sz w:val="28"/>
                <w:szCs w:val="28"/>
              </w:rPr>
              <w:t>21</w:t>
            </w:r>
            <w:r w:rsidRPr="008B7664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 сельского поселения  </w:t>
            </w:r>
            <w:r w:rsidR="00F81FC5">
              <w:rPr>
                <w:sz w:val="28"/>
                <w:szCs w:val="28"/>
              </w:rPr>
              <w:t>Свободин</w:t>
            </w:r>
            <w:r>
              <w:rPr>
                <w:sz w:val="28"/>
                <w:szCs w:val="28"/>
              </w:rPr>
              <w:t>ский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284776">
        <w:trPr>
          <w:trHeight w:val="4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>их, и экстремистских проявлений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Реализация Прогр</w:t>
            </w:r>
            <w:r>
              <w:rPr>
                <w:sz w:val="28"/>
                <w:szCs w:val="28"/>
              </w:rPr>
              <w:t>аммы рассчитана на период с 201</w:t>
            </w:r>
            <w:r w:rsidR="002847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202</w:t>
            </w:r>
            <w:r w:rsidR="00284776">
              <w:rPr>
                <w:sz w:val="28"/>
                <w:szCs w:val="28"/>
              </w:rPr>
              <w:t>1</w:t>
            </w:r>
            <w:r w:rsidRPr="00C239BD">
              <w:rPr>
                <w:sz w:val="28"/>
                <w:szCs w:val="28"/>
              </w:rPr>
              <w:t xml:space="preserve"> годы.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F81FC5">
              <w:rPr>
                <w:sz w:val="28"/>
                <w:szCs w:val="28"/>
              </w:rPr>
              <w:t>Свободин</w:t>
            </w:r>
            <w:r>
              <w:rPr>
                <w:sz w:val="28"/>
                <w:szCs w:val="28"/>
              </w:rPr>
              <w:t>ский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>
              <w:rPr>
                <w:sz w:val="28"/>
                <w:szCs w:val="28"/>
              </w:rPr>
              <w:t xml:space="preserve">рограммы составит   9,0 </w:t>
            </w:r>
            <w:r w:rsidRPr="00C239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 </w:t>
            </w:r>
            <w:r w:rsidR="002847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4,0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84776" w:rsidRPr="00C239BD" w:rsidRDefault="00284776" w:rsidP="0028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4,0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84776" w:rsidRPr="00C239BD" w:rsidRDefault="00284776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 xml:space="preserve">ский сельсовет </w:t>
      </w:r>
      <w:r w:rsidRPr="00386B7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СП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>ский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>
        <w:rPr>
          <w:sz w:val="28"/>
          <w:szCs w:val="28"/>
        </w:rPr>
        <w:t xml:space="preserve"> сельского поселения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>ский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 расположенных на территории </w:t>
      </w:r>
      <w:r>
        <w:rPr>
          <w:sz w:val="28"/>
          <w:szCs w:val="28"/>
        </w:rPr>
        <w:t>сельского поселения</w:t>
      </w:r>
      <w:r w:rsidRPr="00386B71">
        <w:rPr>
          <w:sz w:val="28"/>
          <w:szCs w:val="28"/>
        </w:rPr>
        <w:t>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  <w:t xml:space="preserve">«О противодействии терроризму», 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C239BD">
        <w:rPr>
          <w:sz w:val="28"/>
          <w:szCs w:val="28"/>
        </w:rPr>
        <w:t>по</w:t>
      </w:r>
      <w:proofErr w:type="gramEnd"/>
      <w:r w:rsidRPr="00C239BD">
        <w:rPr>
          <w:sz w:val="28"/>
          <w:szCs w:val="28"/>
        </w:rPr>
        <w:t>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предупреждению терроризма, в том числе по выявлению и последующему устранению причин и условий, способствующих совершению </w:t>
      </w:r>
      <w:r w:rsidRPr="00C239BD">
        <w:rPr>
          <w:sz w:val="28"/>
          <w:szCs w:val="28"/>
        </w:rPr>
        <w:lastRenderedPageBreak/>
        <w:t>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</w:t>
      </w:r>
      <w:proofErr w:type="gramStart"/>
      <w:r w:rsidRPr="00C239BD">
        <w:rPr>
          <w:sz w:val="28"/>
          <w:szCs w:val="28"/>
        </w:rPr>
        <w:t>зрения</w:t>
      </w:r>
      <w:proofErr w:type="gramEnd"/>
      <w:r w:rsidRPr="00C239BD">
        <w:rPr>
          <w:sz w:val="28"/>
          <w:szCs w:val="28"/>
        </w:rPr>
        <w:t xml:space="preserve">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Pr="00C239BD">
        <w:rPr>
          <w:sz w:val="28"/>
          <w:szCs w:val="28"/>
        </w:rPr>
        <w:t>целью</w:t>
      </w:r>
      <w:proofErr w:type="gramEnd"/>
      <w:r w:rsidRPr="00C239BD">
        <w:rPr>
          <w:sz w:val="28"/>
          <w:szCs w:val="28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Противодействие экстремизму - это не только задача государства, необходимы консолидированные усилия политических партий, общественных </w:t>
      </w:r>
      <w:r w:rsidRPr="00C239BD">
        <w:rPr>
          <w:sz w:val="28"/>
          <w:szCs w:val="28"/>
        </w:rPr>
        <w:lastRenderedPageBreak/>
        <w:t>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 xml:space="preserve">рритории сельского поселения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>ский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 xml:space="preserve">езопасности в сельском поселении 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>ский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Реализация Программы рассчитана н</w:t>
      </w:r>
      <w:r>
        <w:rPr>
          <w:sz w:val="28"/>
          <w:szCs w:val="28"/>
        </w:rPr>
        <w:t>а период с 2018 по 2020</w:t>
      </w:r>
      <w:r w:rsidRPr="00C239BD">
        <w:rPr>
          <w:sz w:val="28"/>
          <w:szCs w:val="28"/>
        </w:rPr>
        <w:t xml:space="preserve"> годы. </w:t>
      </w:r>
      <w:r>
        <w:rPr>
          <w:sz w:val="28"/>
          <w:szCs w:val="28"/>
        </w:rPr>
        <w:tab/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 xml:space="preserve">ский сельсовет </w:t>
      </w:r>
      <w:r w:rsidRPr="00C239BD">
        <w:rPr>
          <w:sz w:val="28"/>
          <w:szCs w:val="28"/>
        </w:rPr>
        <w:t xml:space="preserve">может быть достигнуто только при комплексном подходе к данной проблеме, с учетом качественного </w:t>
      </w:r>
      <w:r w:rsidRPr="00C239BD">
        <w:rPr>
          <w:sz w:val="28"/>
          <w:szCs w:val="28"/>
        </w:rPr>
        <w:lastRenderedPageBreak/>
        <w:t>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9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>
        <w:rPr>
          <w:sz w:val="28"/>
          <w:szCs w:val="28"/>
        </w:rPr>
        <w:t xml:space="preserve">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 xml:space="preserve">ский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>
        <w:rPr>
          <w:sz w:val="28"/>
          <w:szCs w:val="28"/>
        </w:rPr>
        <w:t>еализацию программы составит  9,0 тыс</w:t>
      </w:r>
      <w:r w:rsidRPr="00C2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рублей, в том числе: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CF3FE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1,0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CF3FE6">
        <w:rPr>
          <w:sz w:val="28"/>
          <w:szCs w:val="28"/>
        </w:rPr>
        <w:t xml:space="preserve">20 </w:t>
      </w:r>
      <w:r>
        <w:rPr>
          <w:sz w:val="28"/>
          <w:szCs w:val="28"/>
        </w:rPr>
        <w:t>году – 4,0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CF3FE6">
        <w:rPr>
          <w:sz w:val="28"/>
          <w:szCs w:val="28"/>
        </w:rPr>
        <w:t>1</w:t>
      </w:r>
      <w:r>
        <w:rPr>
          <w:sz w:val="28"/>
          <w:szCs w:val="28"/>
        </w:rPr>
        <w:t>году – 4,0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поселения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>ский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Неотъемлемым элементом механизма реализации Программы является ее 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Выбор исполнителей мероприятий программы осуществляется на основе открытых конкурсных процедур согласно принципу равенства конкурентных условий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 </w:t>
      </w:r>
      <w:proofErr w:type="gramStart"/>
      <w:r w:rsidRPr="007851D4">
        <w:rPr>
          <w:sz w:val="28"/>
          <w:szCs w:val="28"/>
        </w:rPr>
        <w:t>Контроль за</w:t>
      </w:r>
      <w:proofErr w:type="gramEnd"/>
      <w:r w:rsidRPr="007851D4">
        <w:rPr>
          <w:sz w:val="28"/>
          <w:szCs w:val="28"/>
        </w:rPr>
        <w:t xml:space="preserve"> исполнением программных мероприятий осуществляется </w:t>
      </w:r>
      <w:r w:rsidRPr="007851D4">
        <w:rPr>
          <w:sz w:val="28"/>
          <w:szCs w:val="28"/>
        </w:rPr>
        <w:lastRenderedPageBreak/>
        <w:t xml:space="preserve">администрацией сельского поселения </w:t>
      </w:r>
      <w:r w:rsidR="00F81FC5">
        <w:rPr>
          <w:sz w:val="28"/>
          <w:szCs w:val="28"/>
        </w:rPr>
        <w:t>Свободин</w:t>
      </w:r>
      <w:r>
        <w:rPr>
          <w:sz w:val="28"/>
          <w:szCs w:val="28"/>
        </w:rPr>
        <w:t>ский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 Ответственными за выполнение мероприятий Программы в установленные сроки являются исполнители программы. В ходе реализации 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CF3FE6" w:rsidRPr="007851D4" w:rsidRDefault="00CF3FE6" w:rsidP="00CF3FE6">
      <w:pPr>
        <w:ind w:firstLine="708"/>
        <w:jc w:val="center"/>
        <w:rPr>
          <w:sz w:val="28"/>
          <w:szCs w:val="28"/>
        </w:rPr>
        <w:sectPr w:rsidR="00CF3FE6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Управляющий делами                                                          О.А.Волкова</w:t>
      </w:r>
    </w:p>
    <w:p w:rsidR="003076ED" w:rsidRDefault="003076ED" w:rsidP="003076ED">
      <w:pPr>
        <w:ind w:left="8222"/>
        <w:jc w:val="both"/>
      </w:pPr>
      <w:r>
        <w:lastRenderedPageBreak/>
        <w:t>Приложение</w:t>
      </w:r>
      <w:r w:rsidR="00CF3FE6">
        <w:t xml:space="preserve"> </w:t>
      </w:r>
      <w:r>
        <w:t xml:space="preserve"> к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F81FC5">
        <w:t>Свободин</w:t>
      </w:r>
      <w:r w:rsidRPr="00AC59D4">
        <w:t xml:space="preserve">ский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 w:rsidR="00CF3FE6">
        <w:t>2019</w:t>
      </w:r>
      <w:r>
        <w:t>-202</w:t>
      </w:r>
      <w:r w:rsidR="00CF3FE6">
        <w:t>1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F81FC5">
        <w:rPr>
          <w:b/>
          <w:color w:val="000000"/>
          <w:sz w:val="28"/>
          <w:szCs w:val="28"/>
        </w:rPr>
        <w:t>Свободин</w:t>
      </w:r>
      <w:r w:rsidRPr="00D51A37">
        <w:rPr>
          <w:b/>
          <w:color w:val="000000"/>
          <w:sz w:val="28"/>
          <w:szCs w:val="28"/>
        </w:rPr>
        <w:t>ский сельсовет муниципального района Куюргазинский рай</w:t>
      </w:r>
      <w:r>
        <w:rPr>
          <w:b/>
          <w:color w:val="000000"/>
          <w:sz w:val="28"/>
          <w:szCs w:val="28"/>
        </w:rPr>
        <w:t>он Республики Башкортостан  201</w:t>
      </w:r>
      <w:r w:rsidR="00CF3FE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</w:t>
      </w:r>
      <w:r w:rsidR="00CF3FE6">
        <w:rPr>
          <w:b/>
          <w:color w:val="000000"/>
          <w:sz w:val="28"/>
          <w:szCs w:val="28"/>
        </w:rPr>
        <w:t>21</w:t>
      </w:r>
      <w:r w:rsidRPr="00D51A37">
        <w:rPr>
          <w:b/>
          <w:color w:val="000000"/>
          <w:sz w:val="28"/>
          <w:szCs w:val="28"/>
        </w:rPr>
        <w:t xml:space="preserve"> годы»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 xml:space="preserve">№ </w:t>
            </w:r>
            <w:proofErr w:type="spellStart"/>
            <w:proofErr w:type="gramStart"/>
            <w:r w:rsidRPr="00563FBA">
              <w:rPr>
                <w:bCs/>
              </w:rPr>
              <w:t>п</w:t>
            </w:r>
            <w:proofErr w:type="spellEnd"/>
            <w:proofErr w:type="gramEnd"/>
            <w:r w:rsidRPr="00563FBA">
              <w:rPr>
                <w:bCs/>
              </w:rPr>
              <w:t>/</w:t>
            </w:r>
            <w:proofErr w:type="spellStart"/>
            <w:r w:rsidRPr="00563FBA">
              <w:rPr>
                <w:bCs/>
              </w:rPr>
              <w:t>п</w:t>
            </w:r>
            <w:proofErr w:type="spellEnd"/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201</w:t>
            </w:r>
            <w:r w:rsidR="00CF3FE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CF3FE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CF3FE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886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 участием </w:t>
            </w:r>
            <w:proofErr w:type="gramStart"/>
            <w:r>
              <w:rPr>
                <w:bCs/>
              </w:rPr>
              <w:t>представительный</w:t>
            </w:r>
            <w:proofErr w:type="gramEnd"/>
            <w:r>
              <w:rPr>
                <w:bCs/>
              </w:rPr>
              <w:t xml:space="preserve">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правляющий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B7701C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Освещение  на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размещение материалов на сайте и информационных стендах, </w:t>
            </w:r>
            <w:r>
              <w:rPr>
                <w:bCs/>
              </w:rPr>
              <w:lastRenderedPageBreak/>
              <w:t>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6ED"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правляющий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</w:t>
            </w:r>
            <w:r w:rsidR="00307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9263B0">
              <w:rPr>
                <w:color w:val="000000"/>
              </w:rPr>
              <w:t>Организация выпуска и распространение информационных материалов (</w:t>
            </w:r>
            <w:proofErr w:type="spellStart"/>
            <w:r w:rsidRPr="009263B0">
              <w:rPr>
                <w:color w:val="000000"/>
              </w:rPr>
              <w:t>стикеры</w:t>
            </w:r>
            <w:proofErr w:type="spellEnd"/>
            <w:r w:rsidRPr="009263B0">
              <w:rPr>
                <w:color w:val="00000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также 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6A3B">
              <w:rPr>
                <w:rFonts w:ascii="Times New Roman" w:hAnsi="Times New Roman"/>
                <w:sz w:val="24"/>
                <w:szCs w:val="24"/>
              </w:rPr>
              <w:t>Свобода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101" w:type="dxa"/>
          </w:tcPr>
          <w:p w:rsidR="003076ED" w:rsidRDefault="00CF3FE6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  <w:r w:rsidR="003076ED">
              <w:rPr>
                <w:bCs/>
                <w:sz w:val="20"/>
                <w:szCs w:val="20"/>
              </w:rPr>
              <w:t xml:space="preserve"> 2019,2020 годов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  9 т. руб.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4591" w:type="dxa"/>
          </w:tcPr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>Проведение комплексных проверок  антитеррористической защищенн</w:t>
            </w:r>
            <w:r>
              <w:rPr>
                <w:color w:val="000000"/>
              </w:rPr>
              <w:t xml:space="preserve">ости 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в сентябре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безопасности и 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директор МБОУ СОШ с. </w:t>
            </w:r>
            <w:r w:rsidR="00CF3FE6">
              <w:rPr>
                <w:rFonts w:ascii="Times New Roman" w:hAnsi="Times New Roman"/>
                <w:sz w:val="24"/>
                <w:szCs w:val="24"/>
              </w:rPr>
              <w:t>Свобода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FE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 с. </w:t>
            </w:r>
            <w:proofErr w:type="spellStart"/>
            <w:r w:rsidR="00CF3FE6">
              <w:rPr>
                <w:rFonts w:ascii="Times New Roman" w:hAnsi="Times New Roman"/>
                <w:sz w:val="24"/>
                <w:szCs w:val="24"/>
              </w:rPr>
              <w:t>Свобода,культорганизаторы</w:t>
            </w:r>
            <w:proofErr w:type="spellEnd"/>
            <w:r w:rsidR="00CF3FE6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 w:rsidR="00CF3FE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CF3FE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CF3FE6">
              <w:rPr>
                <w:rFonts w:ascii="Times New Roman" w:hAnsi="Times New Roman"/>
                <w:sz w:val="24"/>
                <w:szCs w:val="24"/>
              </w:rPr>
              <w:t>юканово</w:t>
            </w:r>
            <w:proofErr w:type="spellEnd"/>
            <w:r w:rsidR="00CF3FE6">
              <w:rPr>
                <w:rFonts w:ascii="Times New Roman" w:hAnsi="Times New Roman"/>
                <w:sz w:val="24"/>
                <w:szCs w:val="24"/>
              </w:rPr>
              <w:t xml:space="preserve"> 2-е,д.Кинья-Абыз,д.Тимербаево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CF3FE6" w:rsidRPr="00250681" w:rsidRDefault="00CF3FE6" w:rsidP="00CF3F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директор МБОУ СОШ с. Свобода, заведующий  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Свобода,культорганизаторы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2-е,д.Кинья-Абыз,д.Тимербаево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</w:t>
            </w:r>
            <w:r w:rsidRPr="00E95553">
              <w:rPr>
                <w:bCs/>
              </w:rPr>
              <w:t xml:space="preserve"> с населением, общественными объединениями, трудовыми коллективами, по их участию на добровольной основе в предупреждении преступлений террористического </w:t>
            </w:r>
            <w:r>
              <w:rPr>
                <w:bCs/>
              </w:rPr>
              <w:t xml:space="preserve">и экстремистского </w:t>
            </w:r>
            <w:r w:rsidRPr="00E95553">
              <w:rPr>
                <w:bCs/>
              </w:rPr>
              <w:t>характера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>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gridAfter w:val="1"/>
          <w:wAfter w:w="10" w:type="dxa"/>
          <w:trHeight w:val="635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591" w:type="dxa"/>
          </w:tcPr>
          <w:p w:rsidR="003076ED" w:rsidRDefault="003076ED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району </w:t>
            </w:r>
          </w:p>
          <w:p w:rsidR="003076ED" w:rsidRDefault="003076ED" w:rsidP="00174B11">
            <w:r w:rsidRPr="008220F6"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673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6" w:type="dxa"/>
          </w:tcPr>
          <w:p w:rsidR="003076ED" w:rsidRDefault="003076ED" w:rsidP="00174B11">
            <w:pPr>
              <w:jc w:val="center"/>
            </w:pPr>
            <w:r>
              <w:t xml:space="preserve">Активизация мер по профилактике и предотвращению конфликтов на социальной, политической, </w:t>
            </w:r>
            <w:r>
              <w:lastRenderedPageBreak/>
              <w:t>религиозной, этнической почве, обеспечение социально-политической стабильности</w:t>
            </w:r>
          </w:p>
        </w:tc>
      </w:tr>
    </w:tbl>
    <w:p w:rsidR="003076ED" w:rsidRPr="005E4D17" w:rsidRDefault="003076ED" w:rsidP="003076ED">
      <w:pPr>
        <w:pStyle w:val="2"/>
        <w:spacing w:line="240" w:lineRule="auto"/>
        <w:rPr>
          <w:b/>
          <w:bCs/>
        </w:rPr>
      </w:pPr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AC35CB">
        <w:rPr>
          <w:sz w:val="28"/>
          <w:szCs w:val="28"/>
        </w:rPr>
        <w:t xml:space="preserve">    </w:t>
      </w:r>
      <w:r w:rsidR="00CF3FE6">
        <w:rPr>
          <w:sz w:val="28"/>
          <w:szCs w:val="28"/>
        </w:rPr>
        <w:t>О.А.Волкова</w:t>
      </w:r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6ED"/>
    <w:rsid w:val="00097FBB"/>
    <w:rsid w:val="001501A2"/>
    <w:rsid w:val="00217CDF"/>
    <w:rsid w:val="00284776"/>
    <w:rsid w:val="003076ED"/>
    <w:rsid w:val="005A37A6"/>
    <w:rsid w:val="007A50D1"/>
    <w:rsid w:val="007D2FA1"/>
    <w:rsid w:val="00B16A3B"/>
    <w:rsid w:val="00BC401B"/>
    <w:rsid w:val="00CB40C6"/>
    <w:rsid w:val="00CD6A7C"/>
    <w:rsid w:val="00CF3FE6"/>
    <w:rsid w:val="00D30CA7"/>
    <w:rsid w:val="00D53116"/>
    <w:rsid w:val="00F8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oboda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SVO</cp:lastModifiedBy>
  <cp:revision>3</cp:revision>
  <cp:lastPrinted>2019-09-03T09:19:00Z</cp:lastPrinted>
  <dcterms:created xsi:type="dcterms:W3CDTF">2019-09-02T10:26:00Z</dcterms:created>
  <dcterms:modified xsi:type="dcterms:W3CDTF">2019-09-03T09:25:00Z</dcterms:modified>
</cp:coreProperties>
</file>